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DC" w:rsidRDefault="005431DC">
      <w:pPr>
        <w:pStyle w:val="LO-normal"/>
        <w:tabs>
          <w:tab w:val="left" w:pos="4536"/>
        </w:tabs>
        <w:rPr>
          <w:b/>
        </w:rPr>
      </w:pPr>
      <w:bookmarkStart w:id="0" w:name="_GoBack"/>
      <w:bookmarkEnd w:id="0"/>
    </w:p>
    <w:p w:rsidR="005431DC" w:rsidRDefault="005431DC">
      <w:pPr>
        <w:pStyle w:val="LO-normal"/>
        <w:spacing w:before="60" w:line="240" w:lineRule="auto"/>
        <w:jc w:val="both"/>
        <w:rPr>
          <w:b/>
          <w:sz w:val="16"/>
          <w:szCs w:val="16"/>
        </w:rPr>
      </w:pPr>
    </w:p>
    <w:p w:rsidR="005431DC" w:rsidRDefault="007468BA">
      <w:pPr>
        <w:spacing w:line="240" w:lineRule="auto"/>
        <w:rPr>
          <w:b/>
          <w:color w:val="01A0C6"/>
        </w:rPr>
      </w:pPr>
      <w:r>
        <w:rPr>
          <w:b/>
          <w:color w:val="01A0C6"/>
        </w:rPr>
        <w:t>APPENDICE TABELLARE</w:t>
      </w:r>
    </w:p>
    <w:p w:rsidR="005431DC" w:rsidRDefault="005431DC">
      <w:pPr>
        <w:pStyle w:val="LO-normal"/>
        <w:spacing w:before="60" w:line="240" w:lineRule="auto"/>
        <w:jc w:val="both"/>
        <w:rPr>
          <w:b/>
          <w:sz w:val="16"/>
          <w:szCs w:val="16"/>
        </w:rPr>
      </w:pPr>
    </w:p>
    <w:p w:rsidR="005431DC" w:rsidRDefault="005431DC">
      <w:pPr>
        <w:pStyle w:val="LO-normal"/>
        <w:spacing w:line="240" w:lineRule="auto"/>
        <w:rPr>
          <w:b/>
          <w:sz w:val="18"/>
          <w:szCs w:val="18"/>
        </w:rPr>
      </w:pPr>
    </w:p>
    <w:p w:rsidR="005431DC" w:rsidRDefault="007468BA">
      <w:pPr>
        <w:pStyle w:val="LO-normal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Tab. 1 - Esportazioni in valore assoluto</w:t>
      </w:r>
      <w:r w:rsidR="006A2408">
        <w:rPr>
          <w:b/>
          <w:sz w:val="18"/>
          <w:szCs w:val="18"/>
        </w:rPr>
        <w:t>, anni</w:t>
      </w:r>
      <w:r>
        <w:rPr>
          <w:b/>
          <w:sz w:val="18"/>
          <w:szCs w:val="18"/>
        </w:rPr>
        <w:t xml:space="preserve"> 202</w:t>
      </w:r>
      <w:r w:rsidR="00556974">
        <w:rPr>
          <w:b/>
          <w:sz w:val="18"/>
          <w:szCs w:val="18"/>
        </w:rPr>
        <w:t xml:space="preserve">2 </w:t>
      </w:r>
      <w:r>
        <w:rPr>
          <w:b/>
          <w:sz w:val="18"/>
          <w:szCs w:val="18"/>
        </w:rPr>
        <w:t>e 202</w:t>
      </w:r>
      <w:r w:rsidR="0055697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e variazione %</w:t>
      </w:r>
    </w:p>
    <w:p w:rsidR="005431DC" w:rsidRDefault="007468BA">
      <w:pPr>
        <w:pStyle w:val="LO-normal"/>
        <w:tabs>
          <w:tab w:val="left" w:pos="2127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Valori assoluti in euro</w:t>
      </w:r>
    </w:p>
    <w:tbl>
      <w:tblPr>
        <w:tblStyle w:val="TableNormal"/>
        <w:tblW w:w="6870" w:type="dxa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2325"/>
        <w:gridCol w:w="1701"/>
        <w:gridCol w:w="1701"/>
        <w:gridCol w:w="1143"/>
      </w:tblGrid>
      <w:tr w:rsidR="005431DC" w:rsidTr="00CF5F1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Territorio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556974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    </w:t>
            </w:r>
          </w:p>
          <w:p w:rsidR="005431DC" w:rsidRDefault="005431DC">
            <w:pPr>
              <w:pStyle w:val="LO-normal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556974">
              <w:rPr>
                <w:b/>
                <w:sz w:val="16"/>
                <w:szCs w:val="16"/>
              </w:rPr>
              <w:t>2</w:t>
            </w:r>
          </w:p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dati provvisori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Var. %</w:t>
            </w:r>
          </w:p>
        </w:tc>
      </w:tr>
      <w:tr w:rsidR="00556974" w:rsidTr="005871EB">
        <w:trPr>
          <w:trHeight w:val="5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556974" w:rsidRPr="006A2408" w:rsidRDefault="00556974" w:rsidP="00CF5F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A2408">
              <w:rPr>
                <w:b/>
                <w:bCs/>
                <w:color w:val="000000"/>
                <w:sz w:val="16"/>
                <w:szCs w:val="16"/>
              </w:rPr>
              <w:t xml:space="preserve">Marche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556974" w:rsidRPr="00556974" w:rsidRDefault="00556974" w:rsidP="00556974">
            <w:pPr>
              <w:jc w:val="right"/>
              <w:rPr>
                <w:color w:val="000000"/>
                <w:sz w:val="16"/>
                <w:szCs w:val="16"/>
              </w:rPr>
            </w:pPr>
            <w:r w:rsidRPr="00556974">
              <w:rPr>
                <w:color w:val="000000"/>
                <w:sz w:val="16"/>
                <w:szCs w:val="16"/>
              </w:rPr>
              <w:t>12.601.716.394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556974" w:rsidRPr="00556974" w:rsidRDefault="00556974" w:rsidP="00556974">
            <w:pPr>
              <w:jc w:val="right"/>
              <w:rPr>
                <w:color w:val="000000"/>
                <w:sz w:val="16"/>
                <w:szCs w:val="16"/>
              </w:rPr>
            </w:pPr>
            <w:r w:rsidRPr="00556974">
              <w:rPr>
                <w:color w:val="000000"/>
                <w:sz w:val="16"/>
                <w:szCs w:val="16"/>
              </w:rPr>
              <w:t>22.939.056.249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556974" w:rsidRPr="00556974" w:rsidRDefault="00556974" w:rsidP="00556974">
            <w:pPr>
              <w:jc w:val="right"/>
              <w:rPr>
                <w:color w:val="000000"/>
                <w:sz w:val="16"/>
                <w:szCs w:val="16"/>
              </w:rPr>
            </w:pPr>
            <w:r w:rsidRPr="00556974">
              <w:rPr>
                <w:color w:val="000000"/>
                <w:sz w:val="16"/>
                <w:szCs w:val="16"/>
              </w:rPr>
              <w:t>82,0%</w:t>
            </w:r>
          </w:p>
        </w:tc>
      </w:tr>
      <w:tr w:rsidR="00556974" w:rsidRPr="00A13FAC" w:rsidTr="00EB73C0">
        <w:trPr>
          <w:trHeight w:val="5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974" w:rsidRPr="00CF5F15" w:rsidRDefault="00556974" w:rsidP="00CF5F15">
            <w:pPr>
              <w:rPr>
                <w:bCs/>
                <w:color w:val="000000"/>
                <w:sz w:val="16"/>
                <w:szCs w:val="16"/>
              </w:rPr>
            </w:pPr>
            <w:r w:rsidRPr="00A13FAC">
              <w:rPr>
                <w:color w:val="000000"/>
                <w:sz w:val="16"/>
                <w:szCs w:val="16"/>
              </w:rPr>
              <w:t>Pesaro e Urbino</w:t>
            </w:r>
            <w:r w:rsidRPr="00CF5F15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6974" w:rsidRPr="00556974" w:rsidRDefault="00556974">
            <w:pPr>
              <w:jc w:val="right"/>
              <w:rPr>
                <w:color w:val="000000"/>
                <w:sz w:val="16"/>
                <w:szCs w:val="16"/>
              </w:rPr>
            </w:pPr>
            <w:r w:rsidRPr="00556974">
              <w:rPr>
                <w:color w:val="000000"/>
                <w:sz w:val="16"/>
                <w:szCs w:val="16"/>
              </w:rPr>
              <w:t>3.041.927.114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6974" w:rsidRPr="00556974" w:rsidRDefault="00556974">
            <w:pPr>
              <w:jc w:val="right"/>
              <w:rPr>
                <w:color w:val="000000"/>
                <w:sz w:val="16"/>
                <w:szCs w:val="16"/>
              </w:rPr>
            </w:pPr>
            <w:r w:rsidRPr="00556974">
              <w:rPr>
                <w:color w:val="000000"/>
                <w:sz w:val="16"/>
                <w:szCs w:val="16"/>
              </w:rPr>
              <w:t>3.510.805.666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6974" w:rsidRPr="00A13FAC" w:rsidRDefault="00556974">
            <w:pPr>
              <w:jc w:val="right"/>
              <w:rPr>
                <w:color w:val="000000"/>
                <w:sz w:val="16"/>
                <w:szCs w:val="16"/>
              </w:rPr>
            </w:pPr>
            <w:r w:rsidRPr="00A13FAC">
              <w:rPr>
                <w:color w:val="000000"/>
                <w:sz w:val="16"/>
                <w:szCs w:val="16"/>
              </w:rPr>
              <w:t>15,4%</w:t>
            </w:r>
          </w:p>
        </w:tc>
      </w:tr>
      <w:tr w:rsidR="00556974" w:rsidTr="00EB73C0">
        <w:trPr>
          <w:trHeight w:val="5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556974" w:rsidRPr="00CF5F15" w:rsidRDefault="00556974" w:rsidP="00CF5F15">
            <w:pPr>
              <w:rPr>
                <w:bCs/>
                <w:color w:val="000000"/>
                <w:sz w:val="16"/>
                <w:szCs w:val="16"/>
              </w:rPr>
            </w:pPr>
            <w:r w:rsidRPr="00CF5F15">
              <w:rPr>
                <w:bCs/>
                <w:color w:val="000000"/>
                <w:sz w:val="16"/>
                <w:szCs w:val="16"/>
              </w:rPr>
              <w:t xml:space="preserve">Ancona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bottom"/>
          </w:tcPr>
          <w:p w:rsidR="00556974" w:rsidRPr="00556974" w:rsidRDefault="00556974">
            <w:pPr>
              <w:jc w:val="right"/>
              <w:rPr>
                <w:color w:val="000000"/>
                <w:sz w:val="16"/>
                <w:szCs w:val="16"/>
              </w:rPr>
            </w:pPr>
            <w:r w:rsidRPr="00556974">
              <w:rPr>
                <w:color w:val="000000"/>
                <w:sz w:val="16"/>
                <w:szCs w:val="16"/>
              </w:rPr>
              <w:t>4.431.436.745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bottom"/>
          </w:tcPr>
          <w:p w:rsidR="00556974" w:rsidRPr="00556974" w:rsidRDefault="00556974">
            <w:pPr>
              <w:jc w:val="right"/>
              <w:rPr>
                <w:color w:val="000000"/>
                <w:sz w:val="16"/>
                <w:szCs w:val="16"/>
              </w:rPr>
            </w:pPr>
            <w:r w:rsidRPr="00556974">
              <w:rPr>
                <w:color w:val="000000"/>
                <w:sz w:val="16"/>
                <w:szCs w:val="16"/>
              </w:rPr>
              <w:t>5.636.230.177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bottom"/>
          </w:tcPr>
          <w:p w:rsidR="00556974" w:rsidRDefault="00556974">
            <w:pPr>
              <w:jc w:val="right"/>
              <w:rPr>
                <w:rFonts w:ascii="Calibri" w:hAnsi="Calibri" w:cs="Calibri"/>
                <w:color w:val="000000"/>
              </w:rPr>
            </w:pPr>
            <w:r w:rsidRPr="00556974">
              <w:rPr>
                <w:color w:val="000000"/>
                <w:sz w:val="16"/>
                <w:szCs w:val="16"/>
              </w:rPr>
              <w:t>27,2%</w:t>
            </w:r>
          </w:p>
        </w:tc>
      </w:tr>
      <w:tr w:rsidR="00556974" w:rsidTr="00EB73C0">
        <w:trPr>
          <w:trHeight w:val="5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974" w:rsidRPr="00CF5F15" w:rsidRDefault="00556974" w:rsidP="00CF5F15">
            <w:pPr>
              <w:rPr>
                <w:bCs/>
                <w:color w:val="000000"/>
                <w:sz w:val="16"/>
                <w:szCs w:val="16"/>
              </w:rPr>
            </w:pPr>
            <w:r w:rsidRPr="00CF5F15">
              <w:rPr>
                <w:bCs/>
                <w:color w:val="000000"/>
                <w:sz w:val="16"/>
                <w:szCs w:val="16"/>
              </w:rPr>
              <w:t xml:space="preserve">Macerata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6974" w:rsidRPr="00556974" w:rsidRDefault="00556974">
            <w:pPr>
              <w:jc w:val="right"/>
              <w:rPr>
                <w:color w:val="000000"/>
                <w:sz w:val="16"/>
                <w:szCs w:val="16"/>
              </w:rPr>
            </w:pPr>
            <w:r w:rsidRPr="00556974">
              <w:rPr>
                <w:color w:val="000000"/>
                <w:sz w:val="16"/>
                <w:szCs w:val="16"/>
              </w:rPr>
              <w:t>1.743.388.102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6974" w:rsidRPr="00556974" w:rsidRDefault="00556974">
            <w:pPr>
              <w:jc w:val="right"/>
              <w:rPr>
                <w:color w:val="000000"/>
                <w:sz w:val="16"/>
                <w:szCs w:val="16"/>
              </w:rPr>
            </w:pPr>
            <w:r w:rsidRPr="00556974">
              <w:rPr>
                <w:color w:val="000000"/>
                <w:sz w:val="16"/>
                <w:szCs w:val="16"/>
              </w:rPr>
              <w:t>2.121.154.306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6974" w:rsidRDefault="00556974">
            <w:pPr>
              <w:jc w:val="right"/>
              <w:rPr>
                <w:rFonts w:ascii="Calibri" w:hAnsi="Calibri" w:cs="Calibri"/>
                <w:color w:val="000000"/>
              </w:rPr>
            </w:pPr>
            <w:r w:rsidRPr="00556974">
              <w:rPr>
                <w:color w:val="000000"/>
                <w:sz w:val="16"/>
                <w:szCs w:val="16"/>
              </w:rPr>
              <w:t>21,7%</w:t>
            </w:r>
          </w:p>
        </w:tc>
      </w:tr>
      <w:tr w:rsidR="00556974" w:rsidTr="00EB73C0">
        <w:trPr>
          <w:trHeight w:val="5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556974" w:rsidRPr="00CF5F15" w:rsidRDefault="00556974" w:rsidP="00CF5F15">
            <w:pPr>
              <w:rPr>
                <w:bCs/>
                <w:color w:val="000000"/>
                <w:sz w:val="16"/>
                <w:szCs w:val="16"/>
              </w:rPr>
            </w:pPr>
            <w:r w:rsidRPr="00CF5F15">
              <w:rPr>
                <w:bCs/>
                <w:color w:val="000000"/>
                <w:sz w:val="16"/>
                <w:szCs w:val="16"/>
              </w:rPr>
              <w:t xml:space="preserve">Ascoli Piceno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bottom"/>
          </w:tcPr>
          <w:p w:rsidR="00556974" w:rsidRPr="00556974" w:rsidRDefault="00556974">
            <w:pPr>
              <w:jc w:val="right"/>
              <w:rPr>
                <w:color w:val="000000"/>
                <w:sz w:val="16"/>
                <w:szCs w:val="16"/>
              </w:rPr>
            </w:pPr>
            <w:r w:rsidRPr="00556974">
              <w:rPr>
                <w:color w:val="000000"/>
                <w:sz w:val="16"/>
                <w:szCs w:val="16"/>
              </w:rPr>
              <w:t>2.455.389.827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bottom"/>
          </w:tcPr>
          <w:p w:rsidR="00556974" w:rsidRPr="00556974" w:rsidRDefault="00556974">
            <w:pPr>
              <w:jc w:val="right"/>
              <w:rPr>
                <w:color w:val="000000"/>
                <w:sz w:val="16"/>
                <w:szCs w:val="16"/>
              </w:rPr>
            </w:pPr>
            <w:r w:rsidRPr="00556974">
              <w:rPr>
                <w:color w:val="000000"/>
                <w:sz w:val="16"/>
                <w:szCs w:val="16"/>
              </w:rPr>
              <w:t>10.433.384.661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bottom"/>
          </w:tcPr>
          <w:p w:rsidR="00556974" w:rsidRPr="00556974" w:rsidRDefault="00556974">
            <w:pPr>
              <w:jc w:val="right"/>
              <w:rPr>
                <w:color w:val="000000"/>
                <w:sz w:val="16"/>
                <w:szCs w:val="16"/>
              </w:rPr>
            </w:pPr>
            <w:r w:rsidRPr="00556974">
              <w:rPr>
                <w:color w:val="000000"/>
                <w:sz w:val="16"/>
                <w:szCs w:val="16"/>
              </w:rPr>
              <w:t>324,9%</w:t>
            </w:r>
          </w:p>
        </w:tc>
      </w:tr>
      <w:tr w:rsidR="00556974" w:rsidTr="00EB73C0">
        <w:trPr>
          <w:trHeight w:val="5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974" w:rsidRPr="00CF5F15" w:rsidRDefault="00556974" w:rsidP="00CF5F15">
            <w:pPr>
              <w:rPr>
                <w:bCs/>
                <w:color w:val="000000"/>
                <w:sz w:val="16"/>
                <w:szCs w:val="16"/>
              </w:rPr>
            </w:pPr>
            <w:r w:rsidRPr="00CF5F15">
              <w:rPr>
                <w:bCs/>
                <w:color w:val="000000"/>
                <w:sz w:val="16"/>
                <w:szCs w:val="16"/>
              </w:rPr>
              <w:t xml:space="preserve">Fermo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6974" w:rsidRPr="00556974" w:rsidRDefault="00556974">
            <w:pPr>
              <w:jc w:val="right"/>
              <w:rPr>
                <w:color w:val="000000"/>
                <w:sz w:val="16"/>
                <w:szCs w:val="16"/>
              </w:rPr>
            </w:pPr>
            <w:r w:rsidRPr="00556974">
              <w:rPr>
                <w:color w:val="000000"/>
                <w:sz w:val="16"/>
                <w:szCs w:val="16"/>
              </w:rPr>
              <w:t>929.574.606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6974" w:rsidRPr="00556974" w:rsidRDefault="00556974">
            <w:pPr>
              <w:jc w:val="right"/>
              <w:rPr>
                <w:color w:val="000000"/>
                <w:sz w:val="16"/>
                <w:szCs w:val="16"/>
              </w:rPr>
            </w:pPr>
            <w:r w:rsidRPr="00556974">
              <w:rPr>
                <w:color w:val="000000"/>
                <w:sz w:val="16"/>
                <w:szCs w:val="16"/>
              </w:rPr>
              <w:t>1.237.481.439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6974" w:rsidRPr="00A13FAC" w:rsidRDefault="00556974">
            <w:pPr>
              <w:jc w:val="right"/>
              <w:rPr>
                <w:color w:val="000000"/>
                <w:sz w:val="16"/>
                <w:szCs w:val="16"/>
              </w:rPr>
            </w:pPr>
            <w:r w:rsidRPr="00A13FAC">
              <w:rPr>
                <w:color w:val="000000"/>
                <w:sz w:val="16"/>
                <w:szCs w:val="16"/>
              </w:rPr>
              <w:t>33,1%</w:t>
            </w:r>
          </w:p>
        </w:tc>
      </w:tr>
      <w:tr w:rsidR="00A13FAC" w:rsidTr="0020383F">
        <w:trPr>
          <w:trHeight w:val="5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13FAC" w:rsidRPr="00CF5F15" w:rsidRDefault="00A13FAC" w:rsidP="00CF5F15">
            <w:pPr>
              <w:rPr>
                <w:b/>
                <w:sz w:val="16"/>
                <w:szCs w:val="16"/>
              </w:rPr>
            </w:pPr>
            <w:r w:rsidRPr="00CF5F15">
              <w:rPr>
                <w:b/>
                <w:color w:val="000000"/>
                <w:sz w:val="16"/>
                <w:szCs w:val="16"/>
              </w:rPr>
              <w:t>Italia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13FAC" w:rsidRPr="00A13FAC" w:rsidRDefault="00A13FAC" w:rsidP="00A13FA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13FAC">
              <w:rPr>
                <w:b/>
                <w:color w:val="000000"/>
                <w:sz w:val="16"/>
                <w:szCs w:val="16"/>
              </w:rPr>
              <w:t>520.771.098.751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13FAC" w:rsidRPr="00A13FAC" w:rsidRDefault="00A13FAC" w:rsidP="00A13FA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13FAC">
              <w:rPr>
                <w:b/>
                <w:color w:val="000000"/>
                <w:sz w:val="16"/>
                <w:szCs w:val="16"/>
              </w:rPr>
              <w:t>624.710.196.999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13FAC" w:rsidRPr="00A13FAC" w:rsidRDefault="00A13FAC" w:rsidP="00A13FA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13FAC">
              <w:rPr>
                <w:b/>
                <w:color w:val="000000"/>
                <w:sz w:val="16"/>
                <w:szCs w:val="16"/>
              </w:rPr>
              <w:t>20,0%</w:t>
            </w:r>
          </w:p>
        </w:tc>
      </w:tr>
    </w:tbl>
    <w:p w:rsidR="005431DC" w:rsidRDefault="007468BA">
      <w:pPr>
        <w:pStyle w:val="LO-normal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Fonte: Istat, Coeweb</w:t>
      </w:r>
    </w:p>
    <w:p w:rsidR="005431DC" w:rsidRDefault="007468BA">
      <w:pPr>
        <w:pStyle w:val="LO-normal"/>
        <w:spacing w:line="240" w:lineRule="auto"/>
        <w:rPr>
          <w:sz w:val="18"/>
          <w:szCs w:val="18"/>
        </w:rPr>
      </w:pPr>
      <w:r>
        <w:rPr>
          <w:sz w:val="16"/>
          <w:szCs w:val="16"/>
        </w:rPr>
        <w:t>Elaborazioni: Ufficio Studi e statistica, Camera di Commercio delle Marche</w:t>
      </w:r>
    </w:p>
    <w:p w:rsidR="005431DC" w:rsidRDefault="005431DC">
      <w:pPr>
        <w:pStyle w:val="LO-normal"/>
        <w:spacing w:before="60" w:line="240" w:lineRule="auto"/>
        <w:jc w:val="both"/>
        <w:rPr>
          <w:b/>
          <w:sz w:val="18"/>
          <w:szCs w:val="18"/>
        </w:rPr>
      </w:pPr>
    </w:p>
    <w:p w:rsidR="005431DC" w:rsidRDefault="007468BA">
      <w:pPr>
        <w:pStyle w:val="LO-normal"/>
        <w:spacing w:line="240" w:lineRule="auto"/>
        <w:jc w:val="both"/>
      </w:pPr>
      <w:r>
        <w:rPr>
          <w:b/>
          <w:sz w:val="18"/>
          <w:szCs w:val="18"/>
        </w:rPr>
        <w:t xml:space="preserve">Tab. 2 - Esportazioni delle Marche per pseudo-sottosezioni ATECO2007, </w:t>
      </w:r>
      <w:r w:rsidR="007D7B56">
        <w:rPr>
          <w:b/>
          <w:sz w:val="18"/>
          <w:szCs w:val="18"/>
        </w:rPr>
        <w:t>anni 2022 e 2021</w:t>
      </w:r>
      <w:r>
        <w:rPr>
          <w:b/>
          <w:sz w:val="18"/>
          <w:szCs w:val="18"/>
        </w:rPr>
        <w:t xml:space="preserve">, </w:t>
      </w:r>
    </w:p>
    <w:p w:rsidR="005431DC" w:rsidRDefault="007468BA">
      <w:pPr>
        <w:pStyle w:val="LO-normal"/>
        <w:spacing w:line="240" w:lineRule="auto"/>
        <w:jc w:val="both"/>
      </w:pPr>
      <w:r>
        <w:rPr>
          <w:sz w:val="16"/>
          <w:szCs w:val="16"/>
        </w:rPr>
        <w:t>variazione</w:t>
      </w:r>
      <w:r w:rsidR="007D7B56">
        <w:rPr>
          <w:sz w:val="16"/>
          <w:szCs w:val="16"/>
        </w:rPr>
        <w:t xml:space="preserve"> </w:t>
      </w:r>
      <w:r>
        <w:rPr>
          <w:sz w:val="16"/>
          <w:szCs w:val="16"/>
        </w:rPr>
        <w:t>% - Valori assoluti in euro</w:t>
      </w:r>
    </w:p>
    <w:tbl>
      <w:tblPr>
        <w:tblStyle w:val="TableNormal"/>
        <w:tblW w:w="9563" w:type="dxa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5120"/>
        <w:gridCol w:w="1680"/>
        <w:gridCol w:w="1630"/>
        <w:gridCol w:w="1133"/>
      </w:tblGrid>
      <w:tr w:rsidR="005431DC" w:rsidTr="006A2408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Pseudo-sottosezioni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05657F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5431DC" w:rsidRDefault="005431DC">
            <w:pPr>
              <w:pStyle w:val="LO-normal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05657F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dati provvisori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Var. 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750162">
            <w:pPr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Prodotti dell'agricoltura, della silvicoltura e della pesca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119.124.624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137.786.098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15,7%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750162">
            <w:pPr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Prodotti dell'estrazione di minerali da cave e miniere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12.984.735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15.366.210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18,3%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750162">
            <w:pPr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Prodotti alimentari, bevande e tabacco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343.834.492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417.570.023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21,4%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750162">
            <w:pPr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Prodotti tessili, abbigliamento, pelli e accessori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1.806.978.402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2.367.346.113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31,0%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750162">
            <w:pPr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Legno e prodotti in legno; carta e stampa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436.762.791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518.850.685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18,8%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750162">
            <w:pPr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Coke e prodotti petroliferi raffinati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141.290.690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302.953.896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114,4%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750162">
            <w:pPr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Sostanze e prodotti chimici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492.123.913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557.880.484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13,4%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750162">
            <w:pPr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Articoli farmaceutici, chimico-medicinali e botanici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1.630.845.291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9.475.318.613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481,0%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750162">
            <w:pPr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Articoli in gomma e materie plastiche, altri prodotti della lavorazione di minerali non metalliferi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720.061.198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838.252.240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16,4%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750162">
            <w:pPr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Metalli di base e prodotti in metallo, esclusi macchine e impianti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1.583.129.107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1.888.742.463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19,3%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750162">
            <w:pPr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Computer, apparecchi elettronici e ottici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279.564.494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331.847.172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18,7%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750162">
            <w:pPr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Apparecchi elettrici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1.305.023.175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1.341.397.510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2,8%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750162">
            <w:pPr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Macchinari e apparecchi n.c.a.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2.323.704.047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2.424.482.739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4,3%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750162">
            <w:pPr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Mezzi di trasporto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472.515.412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1.213.032.291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156,7%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750162">
            <w:pPr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Prodotti delle altre attività manifatturiere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854.304.206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922.379.450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8,0%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750162">
            <w:pPr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Prodotti delle attività di trattamento dei rifiuti e risanamento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33.001.424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45.009.844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36,4%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750162">
            <w:pPr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Prodotti dell'editoria e audiovisivi; prodotti delle attività radiotelevisive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11.987.657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12.248.575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2,2%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4E2A42">
            <w:pPr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Prodotti delle attività artistiche, di intrattenimento e divertimento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1.329.673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1.490.515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65929">
              <w:rPr>
                <w:bCs/>
                <w:color w:val="000000"/>
                <w:sz w:val="16"/>
                <w:szCs w:val="16"/>
              </w:rPr>
              <w:t>12,1%</w:t>
            </w:r>
          </w:p>
        </w:tc>
      </w:tr>
      <w:tr w:rsidR="007932AF" w:rsidTr="001E495E">
        <w:trPr>
          <w:trHeight w:val="113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4E2A42">
            <w:pPr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Merci dichiarate come provviste di bordo, merci nazionali di ritorno e respinte, merci varie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33.151.063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127.101.328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AF" w:rsidRPr="00A65929" w:rsidRDefault="007932AF" w:rsidP="00A65929">
            <w:pPr>
              <w:jc w:val="right"/>
              <w:rPr>
                <w:color w:val="000000"/>
                <w:sz w:val="16"/>
                <w:szCs w:val="16"/>
              </w:rPr>
            </w:pPr>
            <w:r w:rsidRPr="00A65929">
              <w:rPr>
                <w:color w:val="000000"/>
                <w:sz w:val="16"/>
                <w:szCs w:val="16"/>
              </w:rPr>
              <w:t>283,4%</w:t>
            </w:r>
          </w:p>
        </w:tc>
      </w:tr>
      <w:tr w:rsidR="007932AF" w:rsidTr="001E495E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954D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5929">
              <w:rPr>
                <w:b/>
                <w:bCs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929">
              <w:rPr>
                <w:b/>
                <w:bCs/>
                <w:color w:val="000000"/>
                <w:sz w:val="16"/>
                <w:szCs w:val="16"/>
              </w:rPr>
              <w:t>12.601.716.394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929">
              <w:rPr>
                <w:b/>
                <w:bCs/>
                <w:color w:val="000000"/>
                <w:sz w:val="16"/>
                <w:szCs w:val="16"/>
              </w:rPr>
              <w:t>22.939.056.249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932AF" w:rsidRPr="00A65929" w:rsidRDefault="007932AF" w:rsidP="00A65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929">
              <w:rPr>
                <w:b/>
                <w:bCs/>
                <w:color w:val="000000"/>
                <w:sz w:val="16"/>
                <w:szCs w:val="16"/>
              </w:rPr>
              <w:t>82,0%</w:t>
            </w:r>
          </w:p>
        </w:tc>
      </w:tr>
    </w:tbl>
    <w:p w:rsidR="005431DC" w:rsidRDefault="007468BA">
      <w:pPr>
        <w:pStyle w:val="LO-normal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Fonte: Istat, Coeweb</w:t>
      </w:r>
    </w:p>
    <w:p w:rsidR="005431DC" w:rsidRDefault="007468BA">
      <w:pPr>
        <w:pStyle w:val="LO-normal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Elaborazioni: Ufficio Studi e statistica, Camera di Commercio delle Marche</w:t>
      </w:r>
    </w:p>
    <w:p w:rsidR="005431DC" w:rsidRDefault="005431DC">
      <w:pPr>
        <w:pStyle w:val="LO-normal"/>
        <w:spacing w:before="60" w:line="240" w:lineRule="auto"/>
        <w:jc w:val="both"/>
        <w:rPr>
          <w:b/>
          <w:sz w:val="16"/>
          <w:szCs w:val="16"/>
        </w:rPr>
      </w:pPr>
    </w:p>
    <w:p w:rsidR="005431DC" w:rsidRDefault="005431DC">
      <w:pPr>
        <w:pStyle w:val="LO-normal"/>
        <w:spacing w:before="60" w:line="240" w:lineRule="auto"/>
        <w:jc w:val="both"/>
        <w:rPr>
          <w:b/>
          <w:sz w:val="16"/>
          <w:szCs w:val="16"/>
        </w:rPr>
      </w:pPr>
    </w:p>
    <w:p w:rsidR="005431DC" w:rsidRPr="00967AB1" w:rsidRDefault="005431DC">
      <w:pPr>
        <w:pStyle w:val="LO-normal"/>
        <w:spacing w:before="60" w:line="240" w:lineRule="auto"/>
        <w:jc w:val="both"/>
        <w:rPr>
          <w:sz w:val="16"/>
          <w:szCs w:val="16"/>
        </w:rPr>
      </w:pPr>
    </w:p>
    <w:p w:rsidR="005431DC" w:rsidRDefault="007468BA">
      <w:pPr>
        <w:pStyle w:val="LO-normal"/>
        <w:spacing w:before="6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Tab. 3 - Marche: Graduatoria dei gruppi merceologici per valore decrescente delle esportazioni</w:t>
      </w:r>
      <w:r w:rsidR="00DC5D33">
        <w:rPr>
          <w:b/>
          <w:sz w:val="18"/>
          <w:szCs w:val="18"/>
        </w:rPr>
        <w:t>, anni</w:t>
      </w:r>
      <w:r>
        <w:rPr>
          <w:b/>
          <w:sz w:val="18"/>
          <w:szCs w:val="18"/>
        </w:rPr>
        <w:t xml:space="preserve"> 202</w:t>
      </w:r>
      <w:r w:rsidR="006363CB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 –20</w:t>
      </w:r>
      <w:r w:rsidR="006363CB">
        <w:rPr>
          <w:b/>
          <w:sz w:val="18"/>
          <w:szCs w:val="18"/>
        </w:rPr>
        <w:t>21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>
        <w:rPr>
          <w:sz w:val="16"/>
          <w:szCs w:val="16"/>
        </w:rPr>
        <w:t xml:space="preserve">Valori assoluti in euro - primi 10 gruppi merceologici </w:t>
      </w:r>
      <w:r w:rsidR="00EE0B83">
        <w:rPr>
          <w:sz w:val="16"/>
          <w:szCs w:val="16"/>
        </w:rPr>
        <w:t xml:space="preserve">in ordine decrescente </w:t>
      </w:r>
      <w:r>
        <w:rPr>
          <w:sz w:val="16"/>
          <w:szCs w:val="16"/>
        </w:rPr>
        <w:t xml:space="preserve">in base al </w:t>
      </w:r>
      <w:r w:rsidR="00EE0B83">
        <w:rPr>
          <w:sz w:val="16"/>
          <w:szCs w:val="16"/>
        </w:rPr>
        <w:t>valore 2022</w:t>
      </w:r>
    </w:p>
    <w:tbl>
      <w:tblPr>
        <w:tblStyle w:val="TableNormal"/>
        <w:tblW w:w="9128" w:type="dxa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5119"/>
        <w:gridCol w:w="1459"/>
        <w:gridCol w:w="1418"/>
        <w:gridCol w:w="1132"/>
      </w:tblGrid>
      <w:tr w:rsidR="005431DC" w:rsidTr="00DC5D33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Gruppi merceologici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6363CB">
              <w:rPr>
                <w:b/>
                <w:sz w:val="16"/>
                <w:szCs w:val="16"/>
              </w:rPr>
              <w:t>1</w:t>
            </w:r>
          </w:p>
          <w:p w:rsidR="005431DC" w:rsidRDefault="005431DC">
            <w:pPr>
              <w:pStyle w:val="LO-normal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6363C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dati provvisori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Var. %</w:t>
            </w:r>
          </w:p>
        </w:tc>
      </w:tr>
      <w:tr w:rsidR="00462482" w:rsidRPr="00462482" w:rsidTr="00D93E41">
        <w:trPr>
          <w:trHeight w:val="113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2E3A07">
            <w:pPr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Medicinali e preparati farmaceutici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1.620.516.443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9.453.854.065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483,4%</w:t>
            </w:r>
          </w:p>
        </w:tc>
      </w:tr>
      <w:tr w:rsidR="00462482" w:rsidRPr="00462482" w:rsidTr="00D93E41">
        <w:trPr>
          <w:trHeight w:val="113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2E3A07">
            <w:pPr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Calzature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1.023.717.966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1.371.717.376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34,0%</w:t>
            </w:r>
          </w:p>
        </w:tc>
      </w:tr>
      <w:tr w:rsidR="00462482" w:rsidRPr="00462482" w:rsidTr="00D93E41">
        <w:trPr>
          <w:trHeight w:val="113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2E3A07">
            <w:pPr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Navi e imbarcazioni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284.586.056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1.004.880.928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253,1%</w:t>
            </w:r>
          </w:p>
        </w:tc>
      </w:tr>
      <w:tr w:rsidR="00462482" w:rsidRPr="00462482" w:rsidTr="00D93E41">
        <w:trPr>
          <w:trHeight w:val="113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2E3A07">
            <w:pPr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Apparecchi per uso domestico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746.115.699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736.791.629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-1,2%</w:t>
            </w:r>
          </w:p>
        </w:tc>
      </w:tr>
      <w:tr w:rsidR="00462482" w:rsidRPr="00462482" w:rsidTr="00D93E41">
        <w:trPr>
          <w:trHeight w:val="113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2E3A07">
            <w:pPr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Altre macchine di impiego generale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578.398.340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694.876.828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20,1%</w:t>
            </w:r>
          </w:p>
        </w:tc>
      </w:tr>
      <w:tr w:rsidR="00462482" w:rsidRPr="00462482" w:rsidTr="00D93E41">
        <w:trPr>
          <w:trHeight w:val="113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2E3A07">
            <w:pPr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Metalli di base preziosi e altri metalli non ferrosi; combustibili nucleari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486.615.661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639.410.947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31,4%</w:t>
            </w:r>
          </w:p>
        </w:tc>
      </w:tr>
      <w:tr w:rsidR="00462482" w:rsidRPr="00462482" w:rsidTr="00D93E41">
        <w:trPr>
          <w:trHeight w:val="113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2E3A07">
            <w:pPr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Mobili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597.536.167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634.919.879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6,3%</w:t>
            </w:r>
          </w:p>
        </w:tc>
      </w:tr>
      <w:tr w:rsidR="00462482" w:rsidRPr="00462482" w:rsidTr="00D93E41">
        <w:trPr>
          <w:trHeight w:val="113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2E3A07">
            <w:pPr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Macchine per l'agricoltura e la silvicoltura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622.475.883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551.379.475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-11,4%</w:t>
            </w:r>
          </w:p>
        </w:tc>
      </w:tr>
      <w:tr w:rsidR="00462482" w:rsidRPr="00462482" w:rsidTr="00D93E41">
        <w:trPr>
          <w:trHeight w:val="113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2E3A07">
            <w:pPr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Macchine per la formatura dei metalli e altre macchine utensili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502.627.110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522.159.650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3,9%</w:t>
            </w:r>
          </w:p>
        </w:tc>
      </w:tr>
      <w:tr w:rsidR="00462482" w:rsidRPr="00462482" w:rsidTr="00D93E41">
        <w:trPr>
          <w:trHeight w:val="113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2E3A07">
            <w:pPr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Articoli in materie plastiche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459.414.359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519.999.940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62482" w:rsidRPr="00462482" w:rsidRDefault="00462482" w:rsidP="00462482">
            <w:pPr>
              <w:jc w:val="right"/>
              <w:rPr>
                <w:sz w:val="16"/>
                <w:szCs w:val="16"/>
              </w:rPr>
            </w:pPr>
            <w:r w:rsidRPr="00462482">
              <w:rPr>
                <w:sz w:val="16"/>
                <w:szCs w:val="16"/>
              </w:rPr>
              <w:t>13,2%</w:t>
            </w:r>
          </w:p>
        </w:tc>
      </w:tr>
    </w:tbl>
    <w:p w:rsidR="005431DC" w:rsidRDefault="007468BA">
      <w:pPr>
        <w:pStyle w:val="LO-normal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Fonte: Istat, Coeweb</w:t>
      </w:r>
    </w:p>
    <w:p w:rsidR="005431DC" w:rsidRDefault="007468BA">
      <w:pPr>
        <w:pStyle w:val="LO-normal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Elaborazioni: Ufficio Studi e statistica, Camera di Commercio delle Marche</w:t>
      </w:r>
    </w:p>
    <w:p w:rsidR="005431DC" w:rsidRPr="00967AB1" w:rsidRDefault="005431DC">
      <w:pPr>
        <w:pStyle w:val="LO-normal"/>
        <w:spacing w:before="60" w:line="240" w:lineRule="auto"/>
        <w:jc w:val="both"/>
        <w:rPr>
          <w:b/>
          <w:sz w:val="16"/>
          <w:szCs w:val="16"/>
        </w:rPr>
      </w:pPr>
    </w:p>
    <w:p w:rsidR="001B6830" w:rsidRDefault="007468BA">
      <w:pPr>
        <w:pStyle w:val="LO-normal"/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Tab. 4 - Esportazioni delle Marche per area geografica di destinazione, </w:t>
      </w:r>
      <w:r w:rsidR="00F42949">
        <w:rPr>
          <w:b/>
          <w:sz w:val="18"/>
          <w:szCs w:val="18"/>
        </w:rPr>
        <w:t>anni</w:t>
      </w:r>
      <w:r>
        <w:rPr>
          <w:b/>
          <w:sz w:val="18"/>
          <w:szCs w:val="18"/>
        </w:rPr>
        <w:t xml:space="preserve"> 202</w:t>
      </w:r>
      <w:r w:rsidR="001B6830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 e 202</w:t>
      </w:r>
      <w:r w:rsidR="001B6830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,</w:t>
      </w:r>
    </w:p>
    <w:p w:rsidR="005431DC" w:rsidRDefault="007468BA">
      <w:pPr>
        <w:pStyle w:val="LO-normal"/>
        <w:spacing w:line="240" w:lineRule="auto"/>
        <w:jc w:val="both"/>
        <w:rPr>
          <w:b/>
        </w:rPr>
      </w:pPr>
      <w:r>
        <w:rPr>
          <w:b/>
          <w:sz w:val="18"/>
          <w:szCs w:val="18"/>
        </w:rPr>
        <w:t>variazione %</w:t>
      </w:r>
      <w:r w:rsidR="0083348E">
        <w:rPr>
          <w:b/>
          <w:sz w:val="18"/>
          <w:szCs w:val="18"/>
        </w:rPr>
        <w:t xml:space="preserve"> </w:t>
      </w:r>
      <w:r>
        <w:rPr>
          <w:sz w:val="16"/>
          <w:szCs w:val="16"/>
        </w:rPr>
        <w:t>Valori assoluti in euro</w:t>
      </w:r>
    </w:p>
    <w:tbl>
      <w:tblPr>
        <w:tblStyle w:val="TableNormal"/>
        <w:tblW w:w="7343" w:type="dxa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2834"/>
        <w:gridCol w:w="1701"/>
        <w:gridCol w:w="1700"/>
        <w:gridCol w:w="1108"/>
      </w:tblGrid>
      <w:tr w:rsidR="005431DC" w:rsidTr="00F42949">
        <w:trPr>
          <w:trHeight w:val="11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Aree geografiche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4D53BE">
              <w:rPr>
                <w:b/>
                <w:sz w:val="16"/>
                <w:szCs w:val="16"/>
              </w:rPr>
              <w:t>1</w:t>
            </w:r>
          </w:p>
          <w:p w:rsidR="005431DC" w:rsidRDefault="005431DC">
            <w:pPr>
              <w:pStyle w:val="LO-normal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4D53BE">
              <w:rPr>
                <w:b/>
                <w:sz w:val="16"/>
                <w:szCs w:val="16"/>
              </w:rPr>
              <w:t>2</w:t>
            </w:r>
          </w:p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dati provvisori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Var. %</w:t>
            </w:r>
          </w:p>
        </w:tc>
      </w:tr>
      <w:tr w:rsidR="00C63BB6" w:rsidTr="002B2937">
        <w:trPr>
          <w:trHeight w:val="11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064173">
            <w:pPr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EUROPA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9.108.161.681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15.701.631.108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72,4%</w:t>
            </w:r>
          </w:p>
        </w:tc>
      </w:tr>
      <w:tr w:rsidR="00C63BB6" w:rsidTr="00542EC5">
        <w:trPr>
          <w:trHeight w:val="11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F95F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C63BB6">
              <w:rPr>
                <w:sz w:val="16"/>
                <w:szCs w:val="16"/>
              </w:rPr>
              <w:t>Ue 27 post Brexit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7.376.608.245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12.434.247.584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68,6%</w:t>
            </w:r>
          </w:p>
        </w:tc>
      </w:tr>
      <w:tr w:rsidR="00C63BB6" w:rsidTr="00932CE6">
        <w:trPr>
          <w:trHeight w:val="11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8201EA">
            <w:pPr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Africa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441.421.688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556.138.184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26,0%</w:t>
            </w:r>
          </w:p>
        </w:tc>
      </w:tr>
      <w:tr w:rsidR="00C63BB6" w:rsidTr="00932CE6">
        <w:trPr>
          <w:trHeight w:val="11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8201EA">
            <w:pPr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America settentrionale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1.121.426.443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2.794.780.357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149,2%</w:t>
            </w:r>
          </w:p>
        </w:tc>
      </w:tr>
      <w:tr w:rsidR="00C63BB6" w:rsidTr="00932CE6">
        <w:trPr>
          <w:trHeight w:val="11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8201EA">
            <w:pPr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America centro-meridionale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405.927.651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518.801.723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27,8%</w:t>
            </w:r>
          </w:p>
        </w:tc>
      </w:tr>
      <w:tr w:rsidR="00C63BB6" w:rsidTr="00932CE6">
        <w:trPr>
          <w:trHeight w:val="11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8201EA">
            <w:pPr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Medio Oriente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477.555.440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494.853.210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3,6%</w:t>
            </w:r>
          </w:p>
        </w:tc>
      </w:tr>
      <w:tr w:rsidR="00C63BB6" w:rsidTr="00932CE6">
        <w:trPr>
          <w:trHeight w:val="11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8201EA">
            <w:pPr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Asia centrale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126.966.495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183.072.845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44,2%</w:t>
            </w:r>
          </w:p>
        </w:tc>
      </w:tr>
      <w:tr w:rsidR="00C63BB6" w:rsidTr="00932CE6">
        <w:trPr>
          <w:trHeight w:val="11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8201EA">
            <w:pPr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Asia orientale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747.592.105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2.492.102.864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233,4%</w:t>
            </w:r>
          </w:p>
        </w:tc>
      </w:tr>
      <w:tr w:rsidR="00C63BB6" w:rsidTr="00932CE6">
        <w:trPr>
          <w:trHeight w:val="11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820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C63BB6">
              <w:rPr>
                <w:sz w:val="16"/>
                <w:szCs w:val="16"/>
              </w:rPr>
              <w:t>ceania e altri territori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172.664.891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197.675.958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14,5%</w:t>
            </w:r>
          </w:p>
        </w:tc>
      </w:tr>
      <w:tr w:rsidR="00C63BB6" w:rsidTr="00B5468F">
        <w:trPr>
          <w:trHeight w:val="11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B6" w:rsidRDefault="00C63BB6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12.601.716.394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22.939.056.249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B6" w:rsidRPr="00C63BB6" w:rsidRDefault="00C63BB6" w:rsidP="00C63BB6">
            <w:pPr>
              <w:jc w:val="right"/>
              <w:rPr>
                <w:sz w:val="16"/>
                <w:szCs w:val="16"/>
              </w:rPr>
            </w:pPr>
            <w:r w:rsidRPr="00C63BB6">
              <w:rPr>
                <w:sz w:val="16"/>
                <w:szCs w:val="16"/>
              </w:rPr>
              <w:t>82,0%</w:t>
            </w:r>
          </w:p>
        </w:tc>
      </w:tr>
    </w:tbl>
    <w:p w:rsidR="005431DC" w:rsidRDefault="007468BA">
      <w:pPr>
        <w:pStyle w:val="LO-normal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Fonte: Istat, Coeweb</w:t>
      </w:r>
    </w:p>
    <w:p w:rsidR="005431DC" w:rsidRDefault="007468BA">
      <w:pPr>
        <w:pStyle w:val="LO-normal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Elaborazioni: Ufficio Studi e statistica, Camera di Commercio delle Marche</w:t>
      </w:r>
    </w:p>
    <w:p w:rsidR="005431DC" w:rsidRPr="00967AB1" w:rsidRDefault="005431DC">
      <w:pPr>
        <w:pStyle w:val="LO-normal"/>
        <w:spacing w:before="60" w:line="240" w:lineRule="auto"/>
        <w:jc w:val="both"/>
        <w:rPr>
          <w:b/>
          <w:sz w:val="16"/>
          <w:szCs w:val="16"/>
        </w:rPr>
      </w:pPr>
    </w:p>
    <w:p w:rsidR="005431DC" w:rsidRDefault="007468BA">
      <w:pPr>
        <w:pStyle w:val="LO-normal"/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Tab. 5 Marche: Graduatoria dei Paesi di destinazione per valore decrescente delle esportazioni manifatturiere – </w:t>
      </w:r>
      <w:r w:rsidR="004E61E2">
        <w:rPr>
          <w:b/>
          <w:sz w:val="16"/>
          <w:szCs w:val="16"/>
        </w:rPr>
        <w:t>anni</w:t>
      </w:r>
      <w:r>
        <w:rPr>
          <w:b/>
          <w:sz w:val="16"/>
          <w:szCs w:val="16"/>
        </w:rPr>
        <w:t xml:space="preserve"> 202</w:t>
      </w:r>
      <w:r w:rsidR="00D7409F">
        <w:rPr>
          <w:b/>
          <w:sz w:val="16"/>
          <w:szCs w:val="16"/>
        </w:rPr>
        <w:t>2</w:t>
      </w:r>
      <w:r w:rsidR="004E61E2">
        <w:rPr>
          <w:b/>
          <w:sz w:val="16"/>
          <w:szCs w:val="16"/>
        </w:rPr>
        <w:t>-</w:t>
      </w:r>
      <w:r>
        <w:rPr>
          <w:b/>
          <w:sz w:val="16"/>
          <w:szCs w:val="16"/>
        </w:rPr>
        <w:t>202</w:t>
      </w:r>
      <w:r w:rsidR="00D7409F">
        <w:rPr>
          <w:b/>
          <w:sz w:val="16"/>
          <w:szCs w:val="16"/>
        </w:rPr>
        <w:t>1</w:t>
      </w:r>
      <w:r>
        <w:rPr>
          <w:sz w:val="16"/>
          <w:szCs w:val="16"/>
        </w:rPr>
        <w:t xml:space="preserve"> - Valori assoluti in euro</w:t>
      </w:r>
      <w:r>
        <w:rPr>
          <w:b/>
          <w:sz w:val="18"/>
          <w:szCs w:val="18"/>
        </w:rPr>
        <w:t xml:space="preserve"> - </w:t>
      </w:r>
      <w:r>
        <w:rPr>
          <w:sz w:val="16"/>
          <w:szCs w:val="16"/>
        </w:rPr>
        <w:t xml:space="preserve">primi 10 Paesi in base al </w:t>
      </w:r>
      <w:r w:rsidR="007E7845">
        <w:rPr>
          <w:sz w:val="16"/>
          <w:szCs w:val="16"/>
        </w:rPr>
        <w:t xml:space="preserve">valore </w:t>
      </w:r>
      <w:r w:rsidR="0047183C">
        <w:rPr>
          <w:sz w:val="16"/>
          <w:szCs w:val="16"/>
        </w:rPr>
        <w:t xml:space="preserve">decrescente </w:t>
      </w:r>
      <w:r w:rsidR="007E7845">
        <w:rPr>
          <w:sz w:val="16"/>
          <w:szCs w:val="16"/>
        </w:rPr>
        <w:t>2022</w:t>
      </w:r>
    </w:p>
    <w:tbl>
      <w:tblPr>
        <w:tblStyle w:val="TableNormal"/>
        <w:tblW w:w="6051" w:type="dxa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2043"/>
        <w:gridCol w:w="1459"/>
        <w:gridCol w:w="1417"/>
        <w:gridCol w:w="1132"/>
      </w:tblGrid>
      <w:tr w:rsidR="005431DC" w:rsidTr="007468BA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Paesi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 w:rsidP="004E61E2">
            <w:pPr>
              <w:pStyle w:val="LO-normal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D7409F">
              <w:rPr>
                <w:b/>
                <w:sz w:val="16"/>
                <w:szCs w:val="16"/>
              </w:rPr>
              <w:t>1</w:t>
            </w:r>
          </w:p>
          <w:p w:rsidR="005431DC" w:rsidRDefault="005431DC">
            <w:pPr>
              <w:pStyle w:val="LO-normal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D7409F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dati provvisori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1DC" w:rsidRDefault="007468BA">
            <w:pPr>
              <w:pStyle w:val="LO-normal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Var. %</w:t>
            </w:r>
          </w:p>
        </w:tc>
      </w:tr>
      <w:tr w:rsidR="00330591" w:rsidTr="00746698">
        <w:trPr>
          <w:trHeight w:val="113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9B33F3">
            <w:pPr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 xml:space="preserve">Belgio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851.975.837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3.831.910.146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349,8%</w:t>
            </w:r>
          </w:p>
        </w:tc>
      </w:tr>
      <w:tr w:rsidR="00330591" w:rsidTr="00746698">
        <w:trPr>
          <w:trHeight w:val="113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9B33F3">
            <w:pPr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 xml:space="preserve">Stati Uniti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1.013.458.038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2.596.072.319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156,2%</w:t>
            </w:r>
          </w:p>
        </w:tc>
      </w:tr>
      <w:tr w:rsidR="00330591" w:rsidTr="00746698">
        <w:trPr>
          <w:trHeight w:val="113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9B33F3">
            <w:pPr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 xml:space="preserve">Germania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1.688.856.457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2.448.247.391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45,0%</w:t>
            </w:r>
          </w:p>
        </w:tc>
      </w:tr>
      <w:tr w:rsidR="00330591" w:rsidTr="00746698">
        <w:trPr>
          <w:trHeight w:val="113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9B33F3">
            <w:pPr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 xml:space="preserve">Regno Unito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465.299.265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1.838.534.482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295,1%</w:t>
            </w:r>
          </w:p>
        </w:tc>
      </w:tr>
      <w:tr w:rsidR="00330591" w:rsidTr="00746698">
        <w:trPr>
          <w:trHeight w:val="113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9B33F3">
            <w:pPr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 xml:space="preserve">Francia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1.284.776.346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1.639.486.335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27,6%</w:t>
            </w:r>
          </w:p>
        </w:tc>
      </w:tr>
      <w:tr w:rsidR="00330591" w:rsidTr="00746698">
        <w:trPr>
          <w:trHeight w:val="113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9B33F3">
            <w:pPr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 xml:space="preserve">Spagna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601.807.615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864.827.972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43,7%</w:t>
            </w:r>
          </w:p>
        </w:tc>
      </w:tr>
      <w:tr w:rsidR="00330591" w:rsidTr="00746698">
        <w:trPr>
          <w:trHeight w:val="113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9B33F3">
            <w:pPr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 xml:space="preserve">Cina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299.564.320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772.633.434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157,9%</w:t>
            </w:r>
          </w:p>
        </w:tc>
      </w:tr>
      <w:tr w:rsidR="00330591" w:rsidTr="00746698">
        <w:trPr>
          <w:trHeight w:val="113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9B33F3">
            <w:pPr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 xml:space="preserve">Corea del Sud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103.405.671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722.676.306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598,9%</w:t>
            </w:r>
          </w:p>
        </w:tc>
      </w:tr>
      <w:tr w:rsidR="00330591" w:rsidTr="00746698">
        <w:trPr>
          <w:trHeight w:val="113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9B33F3">
            <w:pPr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 xml:space="preserve">Polonia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544.215.492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603.539.775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10,9%</w:t>
            </w:r>
          </w:p>
        </w:tc>
      </w:tr>
      <w:tr w:rsidR="00330591" w:rsidTr="00746698">
        <w:trPr>
          <w:trHeight w:val="113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9B33F3">
            <w:pPr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 xml:space="preserve">Taiwan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32.606.456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 w:rsidRPr="00330591">
              <w:rPr>
                <w:sz w:val="16"/>
                <w:szCs w:val="16"/>
              </w:rPr>
              <w:t>578.361.950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30591" w:rsidRPr="00330591" w:rsidRDefault="00330591" w:rsidP="003305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(+++)</w:t>
            </w:r>
          </w:p>
        </w:tc>
      </w:tr>
    </w:tbl>
    <w:p w:rsidR="005431DC" w:rsidRDefault="007468BA">
      <w:pPr>
        <w:pStyle w:val="LO-normal"/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Fonte: Istat, Coeweb</w:t>
      </w:r>
      <w:r w:rsidR="00967AB1">
        <w:rPr>
          <w:sz w:val="16"/>
          <w:szCs w:val="16"/>
        </w:rPr>
        <w:t xml:space="preserve"> - </w:t>
      </w:r>
      <w:r>
        <w:rPr>
          <w:sz w:val="16"/>
          <w:szCs w:val="16"/>
        </w:rPr>
        <w:t>Elaborazioni: Ufficio Studi e statistica, Camera di Commercio delle Marche</w:t>
      </w:r>
    </w:p>
    <w:sectPr w:rsidR="005431DC" w:rsidSect="005431DC">
      <w:headerReference w:type="default" r:id="rId8"/>
      <w:footerReference w:type="default" r:id="rId9"/>
      <w:pgSz w:w="11906" w:h="16838"/>
      <w:pgMar w:top="2190" w:right="1440" w:bottom="1930" w:left="1440" w:header="720" w:footer="144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A2" w:rsidRDefault="008B2DA2" w:rsidP="005431DC">
      <w:pPr>
        <w:spacing w:line="240" w:lineRule="auto"/>
      </w:pPr>
      <w:r>
        <w:separator/>
      </w:r>
    </w:p>
  </w:endnote>
  <w:endnote w:type="continuationSeparator" w:id="0">
    <w:p w:rsidR="008B2DA2" w:rsidRDefault="008B2DA2" w:rsidP="00543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DC" w:rsidRDefault="00BA7EE8">
    <w:pPr>
      <w:pStyle w:val="Pidipagina1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7468BA"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E73728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A2" w:rsidRDefault="008B2DA2">
      <w:pPr>
        <w:rPr>
          <w:sz w:val="12"/>
        </w:rPr>
      </w:pPr>
      <w:r>
        <w:separator/>
      </w:r>
    </w:p>
  </w:footnote>
  <w:footnote w:type="continuationSeparator" w:id="0">
    <w:p w:rsidR="008B2DA2" w:rsidRDefault="008B2DA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DC" w:rsidRDefault="007468BA">
    <w:pPr>
      <w:pStyle w:val="LO-normal"/>
    </w:pPr>
    <w:r>
      <w:rPr>
        <w:noProof/>
        <w:lang w:eastAsia="it-IT" w:bidi="ar-SA"/>
      </w:rPr>
      <w:drawing>
        <wp:anchor distT="0" distB="0" distL="114300" distR="114300" simplePos="0" relativeHeight="5" behindDoc="0" locked="0" layoutInCell="0" allowOverlap="1">
          <wp:simplePos x="0" y="0"/>
          <wp:positionH relativeFrom="column">
            <wp:posOffset>12700</wp:posOffset>
          </wp:positionH>
          <wp:positionV relativeFrom="paragraph">
            <wp:posOffset>165735</wp:posOffset>
          </wp:positionV>
          <wp:extent cx="2929255" cy="555625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9255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F4"/>
    <w:multiLevelType w:val="multilevel"/>
    <w:tmpl w:val="BEE27D0C"/>
    <w:lvl w:ilvl="0">
      <w:numFmt w:val="bullet"/>
      <w:lvlText w:val="-"/>
      <w:lvlJc w:val="left"/>
      <w:pPr>
        <w:tabs>
          <w:tab w:val="num" w:pos="0"/>
        </w:tabs>
        <w:ind w:left="44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A22A0C"/>
    <w:multiLevelType w:val="multilevel"/>
    <w:tmpl w:val="893A19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DC"/>
    <w:rsid w:val="000127D4"/>
    <w:rsid w:val="0005657F"/>
    <w:rsid w:val="000860C2"/>
    <w:rsid w:val="001B6830"/>
    <w:rsid w:val="0020523B"/>
    <w:rsid w:val="00330591"/>
    <w:rsid w:val="00387359"/>
    <w:rsid w:val="00462482"/>
    <w:rsid w:val="0047183C"/>
    <w:rsid w:val="004D53BE"/>
    <w:rsid w:val="004E61E2"/>
    <w:rsid w:val="005431DC"/>
    <w:rsid w:val="00556974"/>
    <w:rsid w:val="006363CB"/>
    <w:rsid w:val="006A2408"/>
    <w:rsid w:val="007468BA"/>
    <w:rsid w:val="00767B51"/>
    <w:rsid w:val="007932AF"/>
    <w:rsid w:val="007D7B56"/>
    <w:rsid w:val="007E7845"/>
    <w:rsid w:val="0083348E"/>
    <w:rsid w:val="008B2DA2"/>
    <w:rsid w:val="00967AB1"/>
    <w:rsid w:val="00A13FAC"/>
    <w:rsid w:val="00A65929"/>
    <w:rsid w:val="00BA7EE8"/>
    <w:rsid w:val="00C63BB6"/>
    <w:rsid w:val="00C82357"/>
    <w:rsid w:val="00CF5F15"/>
    <w:rsid w:val="00D7409F"/>
    <w:rsid w:val="00DC5D33"/>
    <w:rsid w:val="00E73728"/>
    <w:rsid w:val="00EE0B83"/>
    <w:rsid w:val="00F4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0F711-0F20-4663-9928-7AB262B7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254"/>
    <w:pPr>
      <w:spacing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LO-normal"/>
    <w:next w:val="LO-normal"/>
    <w:qFormat/>
    <w:rsid w:val="008E4254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Titolo21">
    <w:name w:val="Titolo 21"/>
    <w:basedOn w:val="LO-normal"/>
    <w:next w:val="LO-normal"/>
    <w:qFormat/>
    <w:rsid w:val="008E4254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Titolo31">
    <w:name w:val="Titolo 31"/>
    <w:basedOn w:val="LO-normal"/>
    <w:next w:val="LO-normal"/>
    <w:qFormat/>
    <w:rsid w:val="008E4254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Titolo41">
    <w:name w:val="Titolo 41"/>
    <w:basedOn w:val="LO-normal"/>
    <w:next w:val="LO-normal"/>
    <w:qFormat/>
    <w:rsid w:val="008E4254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Titolo51">
    <w:name w:val="Titolo 51"/>
    <w:basedOn w:val="LO-normal"/>
    <w:next w:val="LO-normal"/>
    <w:qFormat/>
    <w:rsid w:val="008E4254"/>
    <w:pPr>
      <w:keepNext/>
      <w:keepLines/>
      <w:spacing w:before="240" w:after="80" w:line="240" w:lineRule="auto"/>
    </w:pPr>
    <w:rPr>
      <w:color w:val="666666"/>
    </w:rPr>
  </w:style>
  <w:style w:type="paragraph" w:customStyle="1" w:styleId="Titolo61">
    <w:name w:val="Titolo 61"/>
    <w:basedOn w:val="LO-normal"/>
    <w:next w:val="LO-normal"/>
    <w:qFormat/>
    <w:rsid w:val="008E4254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Caratterinotaapidipagina">
    <w:name w:val="Caratteri nota a piè di pagina"/>
    <w:qFormat/>
    <w:rsid w:val="008E4254"/>
  </w:style>
  <w:style w:type="character" w:customStyle="1" w:styleId="Richiamoallanotaapidipagina">
    <w:name w:val="Richiamo alla nota a piè di pagina"/>
    <w:rsid w:val="008E4254"/>
    <w:rPr>
      <w:vertAlign w:val="superscript"/>
    </w:rPr>
  </w:style>
  <w:style w:type="character" w:customStyle="1" w:styleId="Richiamoallanotadichiusura">
    <w:name w:val="Richiamo alla nota di chiusura"/>
    <w:rsid w:val="008E4254"/>
    <w:rPr>
      <w:vertAlign w:val="superscript"/>
    </w:rPr>
  </w:style>
  <w:style w:type="character" w:customStyle="1" w:styleId="Caratterinotadichiusura">
    <w:name w:val="Caratteri nota di chiusura"/>
    <w:qFormat/>
    <w:rsid w:val="008E425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530E"/>
    <w:rPr>
      <w:rFonts w:ascii="Tahoma" w:hAnsi="Tahoma" w:cs="Mangal"/>
      <w:sz w:val="16"/>
      <w:szCs w:val="14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AC5402"/>
    <w:rPr>
      <w:rFonts w:cs="Mangal"/>
      <w:sz w:val="22"/>
      <w:szCs w:val="20"/>
    </w:rPr>
  </w:style>
  <w:style w:type="character" w:customStyle="1" w:styleId="PidipaginaCarattere">
    <w:name w:val="Piè di pagina Carattere"/>
    <w:basedOn w:val="Carpredefinitoparagrafo"/>
    <w:link w:val="Pidipagina1"/>
    <w:uiPriority w:val="99"/>
    <w:semiHidden/>
    <w:qFormat/>
    <w:rsid w:val="00AC5402"/>
    <w:rPr>
      <w:rFonts w:cs="Mangal"/>
      <w:sz w:val="22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qFormat/>
    <w:rsid w:val="00905D32"/>
    <w:rPr>
      <w:rFonts w:cs="Mangal"/>
      <w:szCs w:val="18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05D32"/>
    <w:rPr>
      <w:vertAlign w:val="superscript"/>
    </w:rPr>
  </w:style>
  <w:style w:type="paragraph" w:styleId="Titolo">
    <w:name w:val="Title"/>
    <w:basedOn w:val="LO-normal"/>
    <w:next w:val="Corpotesto"/>
    <w:qFormat/>
    <w:rsid w:val="008E4254"/>
    <w:pPr>
      <w:keepNext/>
      <w:keepLines/>
      <w:spacing w:before="240" w:after="60" w:line="240" w:lineRule="auto"/>
    </w:pPr>
    <w:rPr>
      <w:sz w:val="52"/>
      <w:szCs w:val="52"/>
    </w:rPr>
  </w:style>
  <w:style w:type="paragraph" w:styleId="Corpotesto">
    <w:name w:val="Body Text"/>
    <w:basedOn w:val="Normale"/>
    <w:rsid w:val="008E4254"/>
    <w:pPr>
      <w:spacing w:after="140"/>
    </w:pPr>
  </w:style>
  <w:style w:type="paragraph" w:styleId="Elenco">
    <w:name w:val="List"/>
    <w:basedOn w:val="Corpotesto"/>
    <w:rsid w:val="008E4254"/>
    <w:rPr>
      <w:rFonts w:cs="Arial Unicode MS"/>
    </w:rPr>
  </w:style>
  <w:style w:type="paragraph" w:customStyle="1" w:styleId="Didascalia1">
    <w:name w:val="Didascalia1"/>
    <w:basedOn w:val="Normale"/>
    <w:qFormat/>
    <w:rsid w:val="008E425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E4254"/>
    <w:pPr>
      <w:suppressLineNumbers/>
    </w:pPr>
    <w:rPr>
      <w:rFonts w:cs="Arial Unicode MS"/>
    </w:rPr>
  </w:style>
  <w:style w:type="paragraph" w:customStyle="1" w:styleId="LO-normal">
    <w:name w:val="LO-normal"/>
    <w:qFormat/>
    <w:rsid w:val="008E4254"/>
    <w:pPr>
      <w:spacing w:line="276" w:lineRule="auto"/>
    </w:pPr>
    <w:rPr>
      <w:sz w:val="22"/>
    </w:rPr>
  </w:style>
  <w:style w:type="paragraph" w:styleId="Sottotitolo">
    <w:name w:val="Subtitle"/>
    <w:basedOn w:val="LO-normal"/>
    <w:next w:val="LO-normal"/>
    <w:qFormat/>
    <w:rsid w:val="008E4254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unhideWhenUsed/>
    <w:rsid w:val="00905D32"/>
    <w:pPr>
      <w:spacing w:line="240" w:lineRule="auto"/>
    </w:pPr>
    <w:rPr>
      <w:rFonts w:cs="Mangal"/>
      <w:sz w:val="20"/>
      <w:szCs w:val="18"/>
    </w:rPr>
  </w:style>
  <w:style w:type="paragraph" w:customStyle="1" w:styleId="Intestazioneepidipagina">
    <w:name w:val="Intestazione e piè di pagina"/>
    <w:basedOn w:val="Normale"/>
    <w:qFormat/>
    <w:rsid w:val="008E4254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AC540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AC540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Contenutotabella">
    <w:name w:val="Contenuto tabella"/>
    <w:basedOn w:val="Normale"/>
    <w:qFormat/>
    <w:rsid w:val="008E4254"/>
    <w:pPr>
      <w:suppressLineNumbers/>
    </w:pPr>
  </w:style>
  <w:style w:type="paragraph" w:customStyle="1" w:styleId="Titolotabella">
    <w:name w:val="Titolo tabella"/>
    <w:basedOn w:val="Contenutotabella"/>
    <w:qFormat/>
    <w:rsid w:val="008E4254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530E"/>
    <w:pPr>
      <w:spacing w:line="240" w:lineRule="auto"/>
    </w:pPr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62154D"/>
    <w:pPr>
      <w:ind w:left="720"/>
      <w:contextualSpacing/>
    </w:pPr>
    <w:rPr>
      <w:rFonts w:cs="Mangal"/>
      <w:szCs w:val="20"/>
    </w:rPr>
  </w:style>
  <w:style w:type="table" w:customStyle="1" w:styleId="TableNormal">
    <w:name w:val="Table Normal"/>
    <w:rsid w:val="008E425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6A14-E0C8-459C-B6B5-387D3A1A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Carloni</dc:creator>
  <cp:lastModifiedBy>Andrea</cp:lastModifiedBy>
  <cp:revision>2</cp:revision>
  <cp:lastPrinted>2023-03-14T14:22:00Z</cp:lastPrinted>
  <dcterms:created xsi:type="dcterms:W3CDTF">2023-03-14T15:40:00Z</dcterms:created>
  <dcterms:modified xsi:type="dcterms:W3CDTF">2023-03-14T15:40:00Z</dcterms:modified>
  <dc:language>it-IT</dc:language>
</cp:coreProperties>
</file>